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86</w:t>
      </w:r>
    </w:p>
    <w:p>
      <w:r>
        <w:t>Bundesgericht (BGE), 1986-10-01, DE</w:t>
      </w:r>
    </w:p>
    <w:p>
      <w:r>
        <w:rPr>
          <w:b/>
        </w:rPr>
        <w:t xml:space="preserve">Quelle: </w:t>
      </w:r>
      <w:r>
        <w:t>https://mcp.opencaselaw.ch/entscheid/bge_112 III 86</w:t>
      </w:r>
    </w:p>
    <w:p>
      <w:r>
        <w:t>FR: ATF 112 III 86</w:t>
      </w:r>
    </w:p>
    <w:p>
      <w:r>
        <w:t>IT: DTF 112 III 86</w:t>
      </w:r>
    </w:p>
    <w:p>
      <w:pPr>
        <w:pStyle w:val="Heading2"/>
      </w:pPr>
      <w:r>
        <w:t>Regeste</w:t>
      </w:r>
    </w:p>
    <w:p>
      <w:r>
        <w:t>Regeste Betreibung für eine in ausländischer Währung festgesetzte Forderung. Der Betriebene, der einen in ausländischer Währung festgesetzten Geldbetrag schuldet und in der hierfür eingeleiteten Betreibung den in Schweizerfranken ausgedrückten Betrag an das Betreibungsamt bezahlt hat, kann nicht dessen Rück-Umrechnung und die Rückerstattung eines sich dabei ergebenden Differenzbetrages verlangen.</w:t>
      </w:r>
    </w:p>
    <w:p>
      <w:pPr>
        <w:pStyle w:val="Heading2"/>
      </w:pPr>
      <w:r>
        <w:t>Erwägungen</w:t>
      </w:r>
    </w:p>
    <w:p>
      <w:r>
        <w:rPr>
          <w:b/>
        </w:rPr>
        <w:t>E. 2</w:t>
      </w:r>
    </w:p>
    <w:p>
      <w:r>
        <w:t>Eine vollstreckungsrechtliche Bestimmung zur Stützung ihres Standpunktes, der in Schweizerwährung bezahlte Betrag sei in US Dollars umzurechnen, vermag die Rekurrentin nicht namhaft zu machen. Art. 67 Abs. 1 Ziff. 3 SchKG bestimmt im Gegenteil, dass im Betreibungsbegehren die Forderungssumme in gesetzlicher Schweizerwährung anzugeben ist. Das Vorbringen der Rekurrentin, sie schulde dem Rekursgegner eine US Dollar-Forderung, ist unbehelflich. Es betrifft die Grundlage der Betreibungsforderung und damit eine nicht in den Zuständigkeitsbereich der Vollstreckungsorgane fallende Frage materiellrechtlicher Natur. Das Betreibungsamt hat lediglich zu prüfen, ob die in Betreibung gesetzte Forderung durch die Zahlungen des Betriebenen getilgt worden sei (vgl. Art. 12 SchKG ). Ist ein Betriebener im nachhinein der Ansicht, er habe mehr bezahlt, als von ihm geschuldet gewesen sei, steht ihm einzig der Weg der Rückforderungsklage nach Art. 86 SchKG offen. Ebenso bedarf es übrigens eines richterlichen Entscheides beispielsweise dann, wenn der Betriebene eine in ausländischer Währung festgesetzte Summe direkt dem Gläubiger zahlt; in Anwendung von Art. 85 SchKG hat jener in einem solchen Fall beim Richter die Aufhebung der Betreibung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